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C106A" w14:textId="41524656" w:rsidR="007838CF" w:rsidRPr="007838CF" w:rsidRDefault="00B544CE" w:rsidP="007838CF">
      <w:pPr>
        <w:spacing w:after="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</w:pPr>
      <w:r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>Mountford</w:t>
      </w:r>
      <w:r w:rsidR="007838CF" w:rsidRPr="007838CF">
        <w:rPr>
          <w:rFonts w:ascii="Open Sans" w:eastAsia="Times New Roman" w:hAnsi="Open Sans" w:cs="Open Sans"/>
          <w:color w:val="333333"/>
          <w:sz w:val="24"/>
          <w:szCs w:val="24"/>
          <w:lang w:eastAsia="en-GB"/>
        </w:rPr>
        <w:t xml:space="preserve"> Chambers is committed to equal treatment and diversity.</w:t>
      </w:r>
    </w:p>
    <w:p w14:paraId="046E78B8" w14:textId="77777777" w:rsidR="007838CF" w:rsidRPr="007838CF" w:rsidRDefault="007838CF" w:rsidP="007838C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</w:pPr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 xml:space="preserve">It is Chambers policy to ensure that no member of Chambers, pupil, employee, </w:t>
      </w:r>
      <w:proofErr w:type="gramStart"/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contractor</w:t>
      </w:r>
      <w:proofErr w:type="gramEnd"/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 xml:space="preserve"> or user of our services receives less favourable treatment on the grounds of age, race colour, ethnic or national origin, nationality / citizenship, social background, gender or gender identity, sexual orientation, marital status, disability, HIV/AIDS status, religious or political persuasion, whether by way of direct or indirect discrimination, harassment or victimisation.</w:t>
      </w:r>
    </w:p>
    <w:p w14:paraId="1D19E5E4" w14:textId="77777777" w:rsidR="007838CF" w:rsidRPr="007838CF" w:rsidRDefault="007838CF" w:rsidP="007838C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</w:pPr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A designated Equality &amp; Diversity policy has been adopted for this purpose, which covers all aspects of our operations. That policy can be found </w:t>
      </w:r>
      <w:hyperlink r:id="rId4" w:history="1">
        <w:r w:rsidRPr="007838CF">
          <w:rPr>
            <w:rFonts w:ascii="Open Sans" w:eastAsia="Times New Roman" w:hAnsi="Open Sans" w:cs="Open Sans"/>
            <w:b/>
            <w:bCs/>
            <w:color w:val="006A72"/>
            <w:sz w:val="24"/>
            <w:szCs w:val="24"/>
            <w:u w:val="single"/>
            <w:lang w:eastAsia="en-GB"/>
          </w:rPr>
          <w:t>he</w:t>
        </w:r>
        <w:r w:rsidRPr="007838CF">
          <w:rPr>
            <w:rFonts w:ascii="Open Sans" w:eastAsia="Times New Roman" w:hAnsi="Open Sans" w:cs="Open Sans"/>
            <w:b/>
            <w:bCs/>
            <w:color w:val="006A72"/>
            <w:sz w:val="24"/>
            <w:szCs w:val="24"/>
            <w:u w:val="single"/>
            <w:lang w:eastAsia="en-GB"/>
          </w:rPr>
          <w:t>r</w:t>
        </w:r>
        <w:r w:rsidRPr="007838CF">
          <w:rPr>
            <w:rFonts w:ascii="Open Sans" w:eastAsia="Times New Roman" w:hAnsi="Open Sans" w:cs="Open Sans"/>
            <w:b/>
            <w:bCs/>
            <w:color w:val="006A72"/>
            <w:sz w:val="24"/>
            <w:szCs w:val="24"/>
            <w:u w:val="single"/>
            <w:lang w:eastAsia="en-GB"/>
          </w:rPr>
          <w:t>e</w:t>
        </w:r>
      </w:hyperlink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.</w:t>
      </w:r>
    </w:p>
    <w:p w14:paraId="05951467" w14:textId="77777777" w:rsidR="007838CF" w:rsidRPr="007838CF" w:rsidRDefault="007838CF" w:rsidP="007838C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</w:pPr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The responsibility for delivering our Equality &amp; Diversity policies and procedures lies with our Equality &amp; Diversity Committee, which comprises five members of Chambers and one member of staff.</w:t>
      </w:r>
    </w:p>
    <w:p w14:paraId="433C6C37" w14:textId="77777777" w:rsidR="007838CF" w:rsidRPr="007838CF" w:rsidRDefault="007838CF" w:rsidP="007838C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</w:pPr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The designated Equality &amp; Diversity Officer for Carmelite Chambers is </w:t>
      </w:r>
      <w:hyperlink r:id="rId5" w:history="1">
        <w:r w:rsidRPr="007838CF">
          <w:rPr>
            <w:rFonts w:ascii="Open Sans" w:eastAsia="Times New Roman" w:hAnsi="Open Sans" w:cs="Open Sans"/>
            <w:b/>
            <w:bCs/>
            <w:color w:val="006A72"/>
            <w:sz w:val="24"/>
            <w:szCs w:val="24"/>
            <w:u w:val="single"/>
            <w:lang w:eastAsia="en-GB"/>
          </w:rPr>
          <w:t>Richard Furlong</w:t>
        </w:r>
      </w:hyperlink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.  Our second Equality &amp; Diversity Officer is </w:t>
      </w:r>
      <w:hyperlink r:id="rId6" w:history="1">
        <w:r w:rsidRPr="007838CF">
          <w:rPr>
            <w:rFonts w:ascii="Open Sans" w:eastAsia="Times New Roman" w:hAnsi="Open Sans" w:cs="Open Sans"/>
            <w:b/>
            <w:bCs/>
            <w:color w:val="006A72"/>
            <w:sz w:val="24"/>
            <w:szCs w:val="24"/>
            <w:u w:val="single"/>
            <w:lang w:eastAsia="en-GB"/>
          </w:rPr>
          <w:t>Houzla Rawat</w:t>
        </w:r>
      </w:hyperlink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.</w:t>
      </w:r>
    </w:p>
    <w:p w14:paraId="001047AF" w14:textId="77777777" w:rsidR="007838CF" w:rsidRPr="007838CF" w:rsidRDefault="007838CF" w:rsidP="007838C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</w:pPr>
      <w:r w:rsidRPr="007838CF">
        <w:rPr>
          <w:rFonts w:ascii="Open Sans" w:eastAsia="Times New Roman" w:hAnsi="Open Sans" w:cs="Open Sans"/>
          <w:color w:val="575756"/>
          <w:sz w:val="24"/>
          <w:szCs w:val="24"/>
          <w:u w:val="single"/>
          <w:lang w:eastAsia="en-GB"/>
        </w:rPr>
        <w:t>Diversity Data</w:t>
      </w:r>
    </w:p>
    <w:p w14:paraId="0B9AC5EA" w14:textId="77777777" w:rsidR="007838CF" w:rsidRPr="007838CF" w:rsidRDefault="007838CF" w:rsidP="007838C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</w:pPr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The designated Diversity Data Officer for Carmelite Chambers is </w:t>
      </w:r>
      <w:hyperlink r:id="rId7" w:history="1">
        <w:r w:rsidRPr="007838CF">
          <w:rPr>
            <w:rFonts w:ascii="Open Sans" w:eastAsia="Times New Roman" w:hAnsi="Open Sans" w:cs="Open Sans"/>
            <w:b/>
            <w:bCs/>
            <w:color w:val="006A72"/>
            <w:sz w:val="24"/>
            <w:szCs w:val="24"/>
            <w:u w:val="single"/>
            <w:lang w:eastAsia="en-GB"/>
          </w:rPr>
          <w:t>James Lloyd</w:t>
        </w:r>
      </w:hyperlink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. We are required to collect diversity data from our workforce and to publish an anonymised summary of such data at least every three years. Our latest data publication can be found </w:t>
      </w:r>
      <w:hyperlink r:id="rId8" w:history="1">
        <w:r w:rsidRPr="007838CF">
          <w:rPr>
            <w:rFonts w:ascii="Open Sans" w:eastAsia="Times New Roman" w:hAnsi="Open Sans" w:cs="Open Sans"/>
            <w:b/>
            <w:bCs/>
            <w:color w:val="006A72"/>
            <w:sz w:val="24"/>
            <w:szCs w:val="24"/>
            <w:u w:val="single"/>
            <w:lang w:eastAsia="en-GB"/>
          </w:rPr>
          <w:t>here</w:t>
        </w:r>
      </w:hyperlink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.</w:t>
      </w:r>
    </w:p>
    <w:p w14:paraId="4BA76478" w14:textId="77777777" w:rsidR="007838CF" w:rsidRPr="007838CF" w:rsidRDefault="007838CF" w:rsidP="007838C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</w:pPr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 </w:t>
      </w:r>
    </w:p>
    <w:p w14:paraId="6FC63B82" w14:textId="77777777" w:rsidR="007838CF" w:rsidRPr="007838CF" w:rsidRDefault="007838CF" w:rsidP="007838CF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</w:pPr>
      <w:r w:rsidRPr="007838CF">
        <w:rPr>
          <w:rFonts w:ascii="Open Sans" w:eastAsia="Times New Roman" w:hAnsi="Open Sans" w:cs="Open Sans"/>
          <w:color w:val="575756"/>
          <w:sz w:val="24"/>
          <w:szCs w:val="24"/>
          <w:lang w:eastAsia="en-GB"/>
        </w:rPr>
        <w:t> </w:t>
      </w:r>
    </w:p>
    <w:p w14:paraId="298F2FD8" w14:textId="77777777" w:rsidR="007838CF" w:rsidRDefault="007838CF"/>
    <w:sectPr w:rsidR="007838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CF"/>
    <w:rsid w:val="007838CF"/>
    <w:rsid w:val="00B5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CC424"/>
  <w15:chartTrackingRefBased/>
  <w15:docId w15:val="{17567434-B9C2-4904-9A98-341EBE3D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0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melitechambers.co.uk/sites/default/files/2020-08/Carmelite%20Diversity%20Data%20August%20202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rmelitechambers.co.uk/members/james-lloy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rmelitechambers.co.uk/members/houzla-rawat" TargetMode="External"/><Relationship Id="rId5" Type="http://schemas.openxmlformats.org/officeDocument/2006/relationships/hyperlink" Target="https://www.carmelitechambers.co.uk/members/richard-furlon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armelitechambers.co.uk/sites/default/files/2020-08/Carmelite%20ED%20Policy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1500</Characters>
  <Application>Microsoft Office Word</Application>
  <DocSecurity>4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O'Sullivan</dc:creator>
  <cp:keywords/>
  <dc:description/>
  <cp:lastModifiedBy>Orla OSullivan</cp:lastModifiedBy>
  <cp:revision>2</cp:revision>
  <dcterms:created xsi:type="dcterms:W3CDTF">2021-11-05T12:14:00Z</dcterms:created>
  <dcterms:modified xsi:type="dcterms:W3CDTF">2021-11-05T12:14:00Z</dcterms:modified>
</cp:coreProperties>
</file>